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5.png" ContentType="image/png"/>
  <Override PartName="/word/media/rId47.png" ContentType="image/png"/>
  <Override PartName="/word/media/rId29.png" ContentType="image/png"/>
  <Override PartName="/word/media/rId41.png" ContentType="image/png"/>
  <Override PartName="/word/media/rId42.png" ContentType="image/png"/>
  <Override PartName="/word/media/rId39.png" ContentType="image/png"/>
  <Override PartName="/word/media/rId34.png" ContentType="image/png"/>
  <Override PartName="/word/media/rId31.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School of Biological Sciences, University of Nebraska-Lincoln, USA 68588</w:t>
      </w:r>
    </w:p>
    <w:p>
      <w:pPr>
        <w:numPr>
          <w:ilvl w:val="0"/>
          <w:numId w:val="1001"/>
        </w:numPr>
      </w:pPr>
      <w:r>
        <w:t xml:space="preserve">Center for Plant Science Innovation, University of Nebraska – Lincoln, USA 68588</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t>
      </w:r>
      <w:r>
        <w:rPr>
          <w:iCs/>
          <w:i/>
        </w:rPr>
        <w:t xml:space="preserve">except in a few cases where temperature was limiting</w:t>
      </w:r>
      <w:r>
        <w:t xml:space="preserv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varied directionally over time in most species, declining in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8"/>
    <w:bookmarkStart w:id="30" w:name="Introduction"/>
    <w:p>
      <w:pPr>
        <w:pStyle w:val="Heading1"/>
      </w:pPr>
      <w:r>
        <w:t xml:space="preserve">Introduction</w:t>
      </w:r>
    </w:p>
    <w:p>
      <w:pPr>
        <w:pStyle w:val="FirstParagraph"/>
      </w:pPr>
      <w:r>
        <w:rPr>
          <w:iCs/>
          <w:i/>
        </w:rPr>
        <w:t xml:space="preserve">(should probably be shorter)</w:t>
      </w:r>
    </w:p>
    <w:p>
      <w:pPr>
        <w:pStyle w:val="BodyText"/>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long-term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the direct characterization of known variation in climate sensitivity in relation to tree height, canopy position, or microhabitat characteristics such as topographic wetness index</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 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traits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(i.e.,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 ring width (RW) 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 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and changes in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Takahashi et al., 2020;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a new method that allows simultaneous consideration of the effects of primary climate drivers (i.e.,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(DRAFT hypothesis table– needs to be filled in and condensed/ cleaned up)</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(conifer),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errors (e.g., labeling inconsistencies, obvious dating errors) that could not be resolved before finalizing the analysis.</w:t>
      </w:r>
      <w:r>
        <w:t xml:space="preserve"> </w:t>
      </w:r>
      <w:r>
        <w:t xml:space="preserve">We also excluded records with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was represented by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used allometric equations between DBH and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on of our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illustration of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w:t>
      </w:r>
    </w:p>
    <w:bookmarkStart w:id="35"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thereby producing residuals.</w:t>
      </w:r>
      <w:r>
        <w:t xml:space="preserve"> </w:t>
      </w:r>
      <w:r>
        <w:t xml:space="preserve">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 RW, BAI, or</w:t>
      </w:r>
      <w:r>
        <w:t xml:space="preserve"> </w:t>
      </w:r>
      <m:oMath>
        <m:r>
          <m:t>Δ</m:t>
        </m:r>
      </m:oMath>
      <w:r>
        <w:t xml:space="preserve">AGB,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iCs/>
          <w:i/>
        </w:rPr>
        <w:t xml:space="preserve">residual growth index ~ [climate] + (1 | sp) + (1 | treeID)</w:t>
      </w:r>
      <w:r>
        <w:t xml:space="preserve">.</w:t>
      </w:r>
      <w:r>
        <w:t xml:space="preserve"> </w:t>
      </w:r>
      <w:r>
        <w:t xml:space="preserve">Here, for each permutation,</w:t>
      </w:r>
      <w:r>
        <w:t xml:space="preserve"> </w:t>
      </w:r>
      <w:r>
        <w:rPr>
          <w:iCs/>
          <w:i/>
        </w:rPr>
        <w:t xml:space="preserve">climate</w:t>
      </w:r>
      <w:r>
        <w:t xml:space="preserve"> </w:t>
      </w:r>
      <w:r>
        <w:t xml:space="preserve">specifies one of climate variables within each group (water or temperature), analyzed over one of all possible combinations of consecutive months over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 log[RW], log[BAI], or log[</w:t>
      </w:r>
      <m:oMath>
        <m:r>
          <m:t>Δ</m:t>
        </m:r>
      </m:oMath>
      <w:r>
        <w:t xml:space="preserve"> </w:t>
      </w:r>
      <w:r>
        <w:t xml:space="preserve">AGB].</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 log[RW] would look like this in</w:t>
      </w:r>
      <w:r>
        <w:t xml:space="preserve"> </w:t>
      </w:r>
      <w:r>
        <w:rPr>
          <w:iCs/>
          <w:i/>
        </w:rPr>
        <w:t xml:space="preserve">R</w:t>
      </w:r>
      <w:r>
        <w:t xml:space="preserve">:</w:t>
      </w:r>
    </w:p>
    <w:p>
      <w:pPr>
        <w:pStyle w:val="BodyText"/>
      </w:pPr>
      <w:r>
        <w:rPr>
          <w:iCs/>
          <w:i/>
        </w:rPr>
        <w:t xml:space="preserve">lme(log[RW] ~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(with no missing values)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biases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yeaar were real, as opposed to an artifact of inherent covariation between DBH and yeaar within each core, we compared GLS results to an analysis of DBH-growth relationships by decade (Figs. S58-S67).</w:t>
      </w:r>
      <w:r>
        <w:t xml:space="preserve"> </w:t>
      </w:r>
      <w:r>
        <w:t xml:space="preserve">For simplicity and consistency with previous literature, we present only the models with BAI 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w:t>
      </w:r>
    </w:p>
    <w:bookmarkEnd w:id="36"/>
    <w:bookmarkEnd w:id="37"/>
    <w:bookmarkEnd w:id="38"/>
    <w:bookmarkStart w:id="49" w:name="Results"/>
    <w:p>
      <w:pPr>
        <w:pStyle w:val="Heading1"/>
      </w:pPr>
      <w:r>
        <w:t xml:space="preserve">Results</w:t>
      </w:r>
    </w:p>
    <w:bookmarkStart w:id="40"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AIC for each. The time window with the minimum \Delta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oMath>
      <w:r>
        <w:t xml:space="preserve">AIC for each. The time window with the minimum</w:t>
      </w:r>
      <w:r>
        <w:t xml:space="preserve"> </w:t>
      </w:r>
      <m:oMath>
        <m:r>
          <m:t>Δ</m:t>
        </m:r>
      </m:oMath>
      <w:r>
        <w:t xml:space="preserve">AIC (1-3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0"/>
    <w:bookmarkStart w:id="44" w:name="Climate"/>
    <w:p>
      <w:pPr>
        <w:pStyle w:val="Heading2"/>
      </w:pPr>
      <w:r>
        <w:t xml:space="preserve">Climate sensitivity</w:t>
      </w:r>
    </w:p>
    <w:p>
      <w:pPr>
        <w:pStyle w:val="FirstParagraph"/>
      </w:pPr>
      <w:r>
        <w:t xml:space="preserve">The three metrics of growth (RW, BAI, and</w:t>
      </w:r>
      <w:r>
        <w:t xml:space="preserve"> </w:t>
      </w:r>
      <m:oMath>
        <m:r>
          <m:t>Δ</m:t>
        </m:r>
      </m:oMath>
      <w:r>
        <w:t xml:space="preserve">AGB)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 RW as the growth metric and for the full set of cores (i.e.,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 RW 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five and three of the 10 sites, respectively, noting that PET 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3"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 RW as the growth metric (Fig. S56) and for 17 of the 36 (47%) with BAI as the growth metric (Fig. S57).</w:t>
      </w:r>
      <w:r>
        <w:t xml:space="preserve"> </w:t>
      </w:r>
      <w:r>
        <w:t xml:space="preserve">The majority of these interactions were positive (75% for RW; 65% for BAI), indicating that larger trees generally respond more positively to precipitation or its frequency (Fig. 4).</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S56) and for 50% with BAI as the growth metric (Fig. S57).</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3"/>
    <w:bookmarkEnd w:id="44"/>
    <w:bookmarkStart w:id="46"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 RW, intermediate for BAI, and highest for</w:t>
      </w:r>
      <w:r>
        <w:t xml:space="preserve"> </w:t>
      </w:r>
      <m:oMath>
        <m:r>
          <m:t>Δ</m:t>
        </m:r>
      </m:oMath>
      <w:r>
        <w:t xml:space="preserve">AGB (e.g., at SCBI; Fig. S39).</w:t>
      </w:r>
      <w:r>
        <w:t xml:space="preserve"> </w:t>
      </w:r>
      <w:r>
        <w:t xml:space="preserve">However, there were exceptions, particularly when RW decreased steeply with DBH (e.g., LT; Fig. S49).</w:t>
      </w:r>
    </w:p>
    <w:p>
      <w:pPr>
        <w:pStyle w:val="BodyText"/>
      </w:pPr>
      <w:r>
        <w:t xml:space="preserve">All three growth metrics, RW, BAI, and</w:t>
      </w:r>
      <w:r>
        <w:t xml:space="preserve"> </w:t>
      </w:r>
      <m:oMath>
        <m:r>
          <m:t>Δ</m:t>
        </m:r>
      </m:oMath>
      <w:r>
        <w:t xml:space="preserve">AGB, varied with DBH for most species at all sites (Fig. 5).</w:t>
      </w:r>
      <w:r>
        <w:t xml:space="preserve"> </w:t>
      </w:r>
      <w:r>
        <w:t xml:space="preserve">For RW,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 RW at low DBH, followed by fairly rapid declines in RW 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 RW at small DBH, increased to peak RW 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 BAI and</w:t>
      </w:r>
      <w:r>
        <w:t xml:space="preserve"> </w:t>
      </w:r>
      <m:oMath>
        <m:r>
          <m:t>Δ</m:t>
        </m:r>
      </m:oMath>
      <w:r>
        <w:t xml:space="preserve">AGB were far more consistent across sites and species, most commonly increasing to a peak at intermediate DBH and then declining (Fig. 5).</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 RW, (b) BAI, (c)</w:t>
      </w:r>
      <w:r>
        <w:rPr>
          <w:bCs/>
          <w:b/>
        </w:rPr>
        <w:t xml:space="preserve"> </w:t>
      </w:r>
      <m:oMath>
        <m:r>
          <m:t>Δ</m:t>
        </m:r>
      </m:oMath>
      <w:r>
        <w:rPr>
          <w:bCs/>
          <w:b/>
        </w:rPr>
        <w:t xml:space="preserve">AGB.</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primary climate drivers, tree size, and slowly changing environmental conditions on annual growth (Fig. 1), yielding results that are consistent with those that would be obtained using conventional methods (Figs. 2, S11-S14; Table S5) while offering a more complete picture of how climate, tree size, and year have shaped tree growth at 10 globally distributed forest over the past 120 years.</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be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nonlinearly with DBH for the majority of site-species combinations (81 - 98% depending on growth metric; Fig. 5).</w:t>
      </w:r>
      <w:r>
        <w:t xml:space="preserve"> </w:t>
      </w:r>
      <w:r>
        <w:t xml:space="preserve">Variation in these patterns – particularly for RW, for which variation was most pronounced – was driven by two primary, interrelated factors: species ecology and stand history.</w:t>
      </w:r>
      <w:r>
        <w:t xml:space="preserve"> </w:t>
      </w:r>
      <w:r>
        <w:t xml:space="preserve">Species that would have established in fairly open conditions – i.e., shade-intolerant species (Table S2) and those at sites with more open canopies (e.g., LT, SC) – exhibited rapid initial growth, measured as RW,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 RW.</w:t>
      </w:r>
      <w:r>
        <w:t xml:space="preserve"> </w:t>
      </w:r>
      <w:r>
        <w:t xml:space="preserve">This latter pattern is consistent with the observation that when contemporary growth rates are compared across individuals within a stand (i.e., a</w:t>
      </w:r>
      <w:r>
        <w:t xml:space="preserve"> </w:t>
      </w:r>
      <w:r>
        <w:t xml:space="preserve">“</w:t>
      </w:r>
      <w:r>
        <w:t xml:space="preserve">cross-sectional</w:t>
      </w:r>
      <w:r>
        <w:t xml:space="preserve">”</w:t>
      </w:r>
      <w:r>
        <w:t xml:space="preserve"> </w:t>
      </w:r>
      <w:r>
        <w:t xml:space="preserve">analysis), RW 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BAI and</w:t>
      </w:r>
      <w:r>
        <w:t xml:space="preserve"> </w:t>
      </w:r>
      <m:oMath>
        <m:r>
          <m:t>Δ</m:t>
        </m:r>
      </m:oMath>
      <w:r>
        <w:t xml:space="preserve">AGB for the majority (77%) of species-site combinations analyzed (Fig. 5), contrasting with findings of cross-sectional analyses showing that</w:t>
      </w:r>
      <w:r>
        <w:t xml:space="preserve"> </w:t>
      </w:r>
      <m:oMath>
        <m:r>
          <m:t>Δ</m:t>
        </m:r>
      </m:oMath>
      <w:r>
        <w:t xml:space="preserve">AGB increases continuously with DBH</w:t>
      </w:r>
      <w:r>
        <w:t xml:space="preserve"> </w:t>
      </w:r>
      <w:r>
        <w:t xml:space="preserve">(Meakem et al., 2018; Stephenson et al., 2014)</w:t>
      </w:r>
      <w:r>
        <w:t xml:space="preserve">, which has also been observed in tree 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 BAI and</w:t>
      </w:r>
      <w:r>
        <w:t xml:space="preserve"> </w:t>
      </w:r>
      <m:oMath>
        <m:r>
          <m:t>Δ</m:t>
        </m:r>
      </m:oMath>
      <w:r>
        <w:t xml:space="preserve">AGB 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 BAI and</w:t>
      </w:r>
      <w:r>
        <w:t xml:space="preserve"> </w:t>
      </w:r>
      <m:oMath>
        <m:r>
          <m:t>Δ</m:t>
        </m:r>
      </m:oMath>
      <w:r>
        <w:t xml:space="preserve">AGB declines at larger DBH (Figs. S35-S54), suggesting that some of the declines in Figure 5 are more properly attributed to the effect of year than DBH.</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 DBH by yeaar (Fig. 6).</w:t>
      </w:r>
      <w:r>
        <w:t xml:space="preserve"> </w:t>
      </w:r>
      <w: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Indeed, in a comparative analysis of several methods commonly used to detect growth trends, an approach</w:t>
      </w:r>
      <w:r>
        <w:t xml:space="preserve"> </w:t>
      </w:r>
      <w:r>
        <w:rPr>
          <w:iCs/>
          <w:i/>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 RW and BAI with DBH (Fig. 5).</w:t>
      </w:r>
      <w:r>
        <w:t xml:space="preserve"> </w:t>
      </w:r>
      <w:r>
        <w:t xml:space="preserve">For instance, based on our finding that BAI 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 DBH are common (Figs. 3 and 4, respectively),</w:t>
      </w:r>
      <w:r>
        <w:t xml:space="preserve"> </w:t>
      </w:r>
      <w:r>
        <w:t xml:space="preserve">that growth – expressed in any metric – almost universally varies with DBH (Fig. 5),</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NP, CDA, RAS, TA, JLB, JDB, SB, PC, RH, JK, JL, EQM, JM,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 RW as the response metric.</w:t>
      </w:r>
    </w:p>
    <w:p>
      <w:pPr>
        <w:pStyle w:val="BodyText"/>
      </w:pPr>
      <w:r>
        <w:t xml:space="preserve">Figure S57. All signficant climate - DBH interactions with RW as the response metric.</w:t>
      </w:r>
    </w:p>
    <w:p>
      <w:pPr>
        <w:pStyle w:val="BodyText"/>
      </w:pPr>
      <w:r>
        <w:t xml:space="preserve">Figures S58-S67. Relationships between DBH and BAI by decade for all sites.</w:t>
      </w:r>
    </w:p>
    <w:bookmarkEnd w:id="58"/>
    <w:bookmarkStart w:id="290" w:name="References"/>
    <w:p>
      <w:pPr>
        <w:pStyle w:val="Heading1"/>
      </w:pPr>
      <w:r>
        <w:t xml:space="preserve">References</w:t>
      </w:r>
    </w:p>
    <w:bookmarkStart w:id="289"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45">
        <w:r>
          <w:rPr>
            <w:rStyle w:val="Hyperlink"/>
          </w:rPr>
          <w:t xml:space="preserve">https://doi.org/10.1007/s10584-020-02868-2</w:t>
        </w:r>
      </w:hyperlink>
    </w:p>
    <w:bookmarkEnd w:id="146"/>
    <w:bookmarkStart w:id="148"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7">
        <w:r>
          <w:rPr>
            <w:rStyle w:val="Hyperlink"/>
          </w:rPr>
          <w:t xml:space="preserve">https://doi.org/10.1007/s10021-020-00501-y</w:t>
        </w:r>
      </w:hyperlink>
    </w:p>
    <w:bookmarkEnd w:id="148"/>
    <w:bookmarkStart w:id="150"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9">
        <w:r>
          <w:rPr>
            <w:rStyle w:val="Hyperlink"/>
          </w:rPr>
          <w:t xml:space="preserve">https://doi.org/10.1073/pnas.1610156113</w:t>
        </w:r>
      </w:hyperlink>
    </w:p>
    <w:bookmarkEnd w:id="150"/>
    <w:bookmarkStart w:id="151"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1"/>
    <w:bookmarkStart w:id="153"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2">
        <w:r>
          <w:rPr>
            <w:rStyle w:val="Hyperlink"/>
          </w:rPr>
          <w:t xml:space="preserve">https://doi.org/10.2307/1937545</w:t>
        </w:r>
      </w:hyperlink>
    </w:p>
    <w:bookmarkEnd w:id="153"/>
    <w:bookmarkStart w:id="155"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4">
        <w:r>
          <w:rPr>
            <w:rStyle w:val="Hyperlink"/>
          </w:rPr>
          <w:t xml:space="preserve">https://doi.org/10.1111/gcb.12955</w:t>
        </w:r>
      </w:hyperlink>
    </w:p>
    <w:bookmarkEnd w:id="155"/>
    <w:bookmarkStart w:id="157"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6">
        <w:r>
          <w:rPr>
            <w:rStyle w:val="Hyperlink"/>
          </w:rPr>
          <w:t xml:space="preserve">https://doi.org/10.1007/s10342-016-0982-7</w:t>
        </w:r>
      </w:hyperlink>
    </w:p>
    <w:bookmarkEnd w:id="157"/>
    <w:bookmarkStart w:id="159"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8">
        <w:r>
          <w:rPr>
            <w:rStyle w:val="Hyperlink"/>
          </w:rPr>
          <w:t xml:space="preserve">https://doi.org/10.1111/gcb.14561</w:t>
        </w:r>
      </w:hyperlink>
    </w:p>
    <w:bookmarkEnd w:id="159"/>
    <w:bookmarkStart w:id="161"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0">
        <w:r>
          <w:rPr>
            <w:rStyle w:val="Hyperlink"/>
          </w:rPr>
          <w:t xml:space="preserve">https://doi.org/10.1002/joc.3711</w:t>
        </w:r>
      </w:hyperlink>
    </w:p>
    <w:bookmarkEnd w:id="161"/>
    <w:bookmarkStart w:id="163"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2">
        <w:r>
          <w:rPr>
            <w:rStyle w:val="Hyperlink"/>
          </w:rPr>
          <w:t xml:space="preserve">https://doi.org/10.1038/s41597-020-0453-3</w:t>
        </w:r>
      </w:hyperlink>
    </w:p>
    <w:bookmarkEnd w:id="163"/>
    <w:bookmarkStart w:id="16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4">
        <w:r>
          <w:rPr>
            <w:rStyle w:val="Hyperlink"/>
          </w:rPr>
          <w:t xml:space="preserve">https://doi.org/10.1111/nph.15906</w:t>
        </w:r>
      </w:hyperlink>
    </w:p>
    <w:bookmarkEnd w:id="165"/>
    <w:bookmarkStart w:id="167"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6">
        <w:r>
          <w:rPr>
            <w:rStyle w:val="Hyperlink"/>
          </w:rPr>
          <w:t xml:space="preserve">https://doi.org/10.1029/2018JG004573</w:t>
        </w:r>
      </w:hyperlink>
    </w:p>
    <w:bookmarkEnd w:id="167"/>
    <w:bookmarkStart w:id="169"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68">
        <w:r>
          <w:rPr>
            <w:rStyle w:val="Hyperlink"/>
          </w:rPr>
          <w:t xml:space="preserve">https://doi.org/10.1111/jbi.13199</w:t>
        </w:r>
      </w:hyperlink>
    </w:p>
    <w:bookmarkEnd w:id="169"/>
    <w:bookmarkStart w:id="171"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70">
        <w:r>
          <w:rPr>
            <w:rStyle w:val="Hyperlink"/>
          </w:rPr>
          <w:t xml:space="preserve">https://doi.org/10.1088/1748-9326/abd8fb</w:t>
        </w:r>
      </w:hyperlink>
    </w:p>
    <w:bookmarkEnd w:id="171"/>
    <w:bookmarkStart w:id="173"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2">
        <w:r>
          <w:rPr>
            <w:rStyle w:val="Hyperlink"/>
          </w:rPr>
          <w:t xml:space="preserve">https://doi.org/10.1038/s41467-018-07800-y</w:t>
        </w:r>
      </w:hyperlink>
    </w:p>
    <w:bookmarkEnd w:id="173"/>
    <w:bookmarkStart w:id="175"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4">
        <w:r>
          <w:rPr>
            <w:rStyle w:val="Hyperlink"/>
          </w:rPr>
          <w:t xml:space="preserve">https://doi.org/10.1093/treephys/tpaa091</w:t>
        </w:r>
      </w:hyperlink>
    </w:p>
    <w:bookmarkEnd w:id="175"/>
    <w:bookmarkStart w:id="177"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6">
        <w:r>
          <w:rPr>
            <w:rStyle w:val="Hyperlink"/>
          </w:rPr>
          <w:t xml:space="preserve">https://doi.org/10.1111/nph.15668</w:t>
        </w:r>
      </w:hyperlink>
    </w:p>
    <w:bookmarkEnd w:id="177"/>
    <w:bookmarkStart w:id="179"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8">
        <w:r>
          <w:rPr>
            <w:rStyle w:val="Hyperlink"/>
          </w:rPr>
          <w:t xml:space="preserve">https://doi.org/10.1038/srep46158</w:t>
        </w:r>
      </w:hyperlink>
    </w:p>
    <w:bookmarkEnd w:id="179"/>
    <w:bookmarkStart w:id="181"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80">
        <w:r>
          <w:rPr>
            <w:rStyle w:val="Hyperlink"/>
          </w:rPr>
          <w:t xml:space="preserve">https://doi.org/10.1016/j.dendro.2019.125652</w:t>
        </w:r>
      </w:hyperlink>
    </w:p>
    <w:bookmarkEnd w:id="181"/>
    <w:bookmarkStart w:id="183"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2">
        <w:r>
          <w:rPr>
            <w:rStyle w:val="Hyperlink"/>
          </w:rPr>
          <w:t xml:space="preserve">https://doi.org/10.1139/x89-102</w:t>
        </w:r>
      </w:hyperlink>
    </w:p>
    <w:bookmarkEnd w:id="183"/>
    <w:bookmarkStart w:id="185"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4">
        <w:r>
          <w:rPr>
            <w:rStyle w:val="Hyperlink"/>
          </w:rPr>
          <w:t xml:space="preserve">https://doi.org/10.2307/1941026</w:t>
        </w:r>
      </w:hyperlink>
    </w:p>
    <w:bookmarkEnd w:id="185"/>
    <w:bookmarkStart w:id="187"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86">
        <w:r>
          <w:rPr>
            <w:rStyle w:val="Hyperlink"/>
          </w:rPr>
          <w:t xml:space="preserve">https://doi.org/10.1016/j.foreco.2009.03.009</w:t>
        </w:r>
      </w:hyperlink>
    </w:p>
    <w:bookmarkEnd w:id="187"/>
    <w:bookmarkStart w:id="189"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88">
        <w:r>
          <w:rPr>
            <w:rStyle w:val="Hyperlink"/>
          </w:rPr>
          <w:t xml:space="preserve">https://doi.org/10.1111/gcb.14273</w:t>
        </w:r>
      </w:hyperlink>
    </w:p>
    <w:bookmarkEnd w:id="189"/>
    <w:bookmarkStart w:id="19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0">
        <w:r>
          <w:rPr>
            <w:rStyle w:val="Hyperlink"/>
          </w:rPr>
          <w:t xml:space="preserve">https://doi.org/10.1007/s10584-016-1720-3</w:t>
        </w:r>
      </w:hyperlink>
    </w:p>
    <w:bookmarkEnd w:id="191"/>
    <w:bookmarkStart w:id="19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2">
        <w:r>
          <w:rPr>
            <w:rStyle w:val="Hyperlink"/>
          </w:rPr>
          <w:t xml:space="preserve">https://doi.org/10.1126/science.aaz9463</w:t>
        </w:r>
      </w:hyperlink>
    </w:p>
    <w:bookmarkEnd w:id="193"/>
    <w:bookmarkStart w:id="19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94">
        <w:r>
          <w:rPr>
            <w:rStyle w:val="Hyperlink"/>
          </w:rPr>
          <w:t xml:space="preserve">https://doi.org/10.1111/nph.16996</w:t>
        </w:r>
      </w:hyperlink>
    </w:p>
    <w:bookmarkEnd w:id="195"/>
    <w:bookmarkStart w:id="19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96">
        <w:r>
          <w:rPr>
            <w:rStyle w:val="Hyperlink"/>
          </w:rPr>
          <w:t xml:space="preserve">https://doi.org/10.1111/nph.14633</w:t>
        </w:r>
      </w:hyperlink>
    </w:p>
    <w:bookmarkEnd w:id="197"/>
    <w:bookmarkStart w:id="19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98">
        <w:r>
          <w:rPr>
            <w:rStyle w:val="Hyperlink"/>
          </w:rPr>
          <w:t xml:space="preserve">https://doi.org/10.1016/j.cageo.2011.01.013</w:t>
        </w:r>
      </w:hyperlink>
    </w:p>
    <w:bookmarkEnd w:id="199"/>
    <w:bookmarkStart w:id="20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0"/>
    <w:bookmarkStart w:id="20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1">
        <w:r>
          <w:rPr>
            <w:rStyle w:val="Hyperlink"/>
          </w:rPr>
          <w:t xml:space="preserve">https://doi.org/10.1111/j.1600-0587.2013.00205.x</w:t>
        </w:r>
      </w:hyperlink>
    </w:p>
    <w:bookmarkEnd w:id="202"/>
    <w:bookmarkStart w:id="20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03">
        <w:r>
          <w:rPr>
            <w:rStyle w:val="Hyperlink"/>
          </w:rPr>
          <w:t xml:space="preserve">https://doi.org/10.1111/gcb.12599</w:t>
        </w:r>
      </w:hyperlink>
    </w:p>
    <w:bookmarkEnd w:id="204"/>
    <w:bookmarkStart w:id="206"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05">
        <w:r>
          <w:rPr>
            <w:rStyle w:val="Hyperlink"/>
          </w:rPr>
          <w:t xml:space="preserve">https://doi.org/10.1017/S1464793104006499</w:t>
        </w:r>
      </w:hyperlink>
    </w:p>
    <w:bookmarkEnd w:id="206"/>
    <w:bookmarkStart w:id="208"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07">
        <w:r>
          <w:rPr>
            <w:rStyle w:val="Hyperlink"/>
          </w:rPr>
          <w:t xml:space="preserve">https://doi.org/10.1111/j.1365-2486.2010.02222.x</w:t>
        </w:r>
      </w:hyperlink>
    </w:p>
    <w:bookmarkEnd w:id="208"/>
    <w:bookmarkStart w:id="209"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09"/>
    <w:bookmarkStart w:id="211"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10">
        <w:r>
          <w:rPr>
            <w:rStyle w:val="Hyperlink"/>
          </w:rPr>
          <w:t xml:space="preserve">https://doi.org/10.3389/ffgc.2020.00039</w:t>
        </w:r>
      </w:hyperlink>
    </w:p>
    <w:bookmarkEnd w:id="211"/>
    <w:bookmarkStart w:id="213"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12">
        <w:r>
          <w:rPr>
            <w:rStyle w:val="Hyperlink"/>
          </w:rPr>
          <w:t xml:space="preserve">https://doi.org/10.1111/ele.13575</w:t>
        </w:r>
      </w:hyperlink>
    </w:p>
    <w:bookmarkEnd w:id="213"/>
    <w:bookmarkStart w:id="215"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14">
        <w:r>
          <w:rPr>
            <w:rStyle w:val="Hyperlink"/>
          </w:rPr>
          <w:t xml:space="preserve">https://doi.org/10.1111/gcb.12826</w:t>
        </w:r>
      </w:hyperlink>
    </w:p>
    <w:bookmarkEnd w:id="215"/>
    <w:bookmarkStart w:id="216"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16"/>
    <w:bookmarkStart w:id="218"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17">
        <w:r>
          <w:rPr>
            <w:rStyle w:val="Hyperlink"/>
          </w:rPr>
          <w:t xml:space="preserve">https://doi.org/10.1186/s40663-018-0139-x</w:t>
        </w:r>
      </w:hyperlink>
    </w:p>
    <w:bookmarkEnd w:id="218"/>
    <w:bookmarkStart w:id="220"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19">
        <w:r>
          <w:rPr>
            <w:rStyle w:val="Hyperlink"/>
          </w:rPr>
          <w:t xml:space="preserve">https://doi.org/10.1016/j.dendro.2020.125678</w:t>
        </w:r>
      </w:hyperlink>
    </w:p>
    <w:bookmarkEnd w:id="220"/>
    <w:bookmarkStart w:id="22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1">
        <w:r>
          <w:rPr>
            <w:rStyle w:val="Hyperlink"/>
          </w:rPr>
          <w:t xml:space="preserve">https://doi.org/10.1111/2041-210X.12753</w:t>
        </w:r>
      </w:hyperlink>
    </w:p>
    <w:bookmarkEnd w:id="222"/>
    <w:bookmarkStart w:id="224"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23">
        <w:r>
          <w:rPr>
            <w:rStyle w:val="Hyperlink"/>
          </w:rPr>
          <w:t xml:space="preserve">https://doi.org/10.1002/ecy.3264</w:t>
        </w:r>
      </w:hyperlink>
    </w:p>
    <w:bookmarkEnd w:id="224"/>
    <w:bookmarkStart w:id="226"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25">
        <w:r>
          <w:rPr>
            <w:rStyle w:val="Hyperlink"/>
          </w:rPr>
          <w:t xml:space="preserve">https://doi.org/10.1111/j.1469-8137.2007.02235.x</w:t>
        </w:r>
      </w:hyperlink>
    </w:p>
    <w:bookmarkEnd w:id="226"/>
    <w:bookmarkStart w:id="22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27">
        <w:r>
          <w:rPr>
            <w:rStyle w:val="Hyperlink"/>
          </w:rPr>
          <w:t xml:space="preserve">https://doi.org/10.1016/j.foreco.2015.08.034</w:t>
        </w:r>
      </w:hyperlink>
    </w:p>
    <w:bookmarkEnd w:id="228"/>
    <w:bookmarkStart w:id="23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29">
        <w:r>
          <w:rPr>
            <w:rStyle w:val="Hyperlink"/>
          </w:rPr>
          <w:t xml:space="preserve">https://doi.org/10.1186/s40663-018-0133-3</w:t>
        </w:r>
      </w:hyperlink>
    </w:p>
    <w:bookmarkEnd w:id="230"/>
    <w:bookmarkStart w:id="232"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31">
        <w:r>
          <w:rPr>
            <w:rStyle w:val="Hyperlink"/>
          </w:rPr>
          <w:t xml:space="preserve">https://doi.org/10.1111/gcb.14721</w:t>
        </w:r>
      </w:hyperlink>
    </w:p>
    <w:bookmarkEnd w:id="232"/>
    <w:bookmarkStart w:id="234"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33">
        <w:r>
          <w:rPr>
            <w:rStyle w:val="Hyperlink"/>
          </w:rPr>
          <w:t xml:space="preserve">https://doi.org/10.1111/1365-2435.12775</w:t>
        </w:r>
      </w:hyperlink>
    </w:p>
    <w:bookmarkEnd w:id="234"/>
    <w:bookmarkStart w:id="236"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35">
        <w:r>
          <w:rPr>
            <w:rStyle w:val="Hyperlink"/>
          </w:rPr>
          <w:t xml:space="preserve">https://doi.org/10.1002/2016JG003528</w:t>
        </w:r>
      </w:hyperlink>
    </w:p>
    <w:bookmarkEnd w:id="236"/>
    <w:bookmarkStart w:id="237"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37"/>
    <w:bookmarkStart w:id="23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38">
        <w:r>
          <w:rPr>
            <w:rStyle w:val="Hyperlink"/>
          </w:rPr>
          <w:t xml:space="preserve">https://doi.org/10.1038/nature12914</w:t>
        </w:r>
      </w:hyperlink>
    </w:p>
    <w:bookmarkEnd w:id="239"/>
    <w:bookmarkStart w:id="240"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40"/>
    <w:bookmarkStart w:id="24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41">
        <w:r>
          <w:rPr>
            <w:rStyle w:val="Hyperlink"/>
          </w:rPr>
          <w:t xml:space="preserve">https://doi.org/10.1126/science.aaw7578</w:t>
        </w:r>
      </w:hyperlink>
    </w:p>
    <w:bookmarkEnd w:id="242"/>
    <w:bookmarkStart w:id="244"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43">
        <w:r>
          <w:rPr>
            <w:rStyle w:val="Hyperlink"/>
          </w:rPr>
          <w:t xml:space="preserve">https://doi.org/10.1088/1748-9326/11/11/114007</w:t>
        </w:r>
      </w:hyperlink>
    </w:p>
    <w:bookmarkEnd w:id="244"/>
    <w:bookmarkStart w:id="246"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45">
        <w:r>
          <w:rPr>
            <w:rStyle w:val="Hyperlink"/>
          </w:rPr>
          <w:t xml:space="preserve">https://doi.org/10.1007/s11258-007-9345-2</w:t>
        </w:r>
      </w:hyperlink>
    </w:p>
    <w:bookmarkEnd w:id="246"/>
    <w:bookmarkStart w:id="248"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w:t>
      </w:r>
      <w:r>
        <w:t xml:space="preserve"> </w:t>
      </w:r>
      <w:r>
        <w:t xml:space="preserve">A</w:t>
      </w:r>
      <w:r>
        <w:t xml:space="preserve"> </w:t>
      </w:r>
      <w:r>
        <w:t xml:space="preserve">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47">
        <w:r>
          <w:rPr>
            <w:rStyle w:val="Hyperlink"/>
          </w:rPr>
          <w:t xml:space="preserve">https://doi.org/10.1016/j.scitotenv.2020.140288</w:t>
        </w:r>
      </w:hyperlink>
    </w:p>
    <w:bookmarkEnd w:id="248"/>
    <w:bookmarkStart w:id="2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49">
        <w:r>
          <w:rPr>
            <w:rStyle w:val="Hyperlink"/>
          </w:rPr>
          <w:t xml:space="preserve">https://doi.org/10.1016/j.agrformet.2017.08.007</w:t>
        </w:r>
      </w:hyperlink>
    </w:p>
    <w:bookmarkEnd w:id="250"/>
    <w:bookmarkStart w:id="2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51">
        <w:r>
          <w:rPr>
            <w:rStyle w:val="Hyperlink"/>
          </w:rPr>
          <w:t xml:space="preserve">https://doi.org/10.1111/gcb.14120</w:t>
        </w:r>
      </w:hyperlink>
    </w:p>
    <w:bookmarkEnd w:id="252"/>
    <w:bookmarkStart w:id="254"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53">
        <w:r>
          <w:rPr>
            <w:rStyle w:val="Hyperlink"/>
          </w:rPr>
          <w:t xml:space="preserve">https://doi.org/10.1007/978-94-007-1242-3_2</w:t>
        </w:r>
      </w:hyperlink>
    </w:p>
    <w:bookmarkEnd w:id="254"/>
    <w:bookmarkStart w:id="25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55">
        <w:r>
          <w:rPr>
            <w:rStyle w:val="Hyperlink"/>
          </w:rPr>
          <w:t xml:space="preserve">https://doi.org/10.5194/cp-9-1481-2013</w:t>
        </w:r>
      </w:hyperlink>
    </w:p>
    <w:bookmarkEnd w:id="256"/>
    <w:bookmarkStart w:id="258"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57">
        <w:r>
          <w:rPr>
            <w:rStyle w:val="Hyperlink"/>
          </w:rPr>
          <w:t xml:space="preserve">https://doi.org/10.1002/joc.2117</w:t>
        </w:r>
      </w:hyperlink>
    </w:p>
    <w:bookmarkEnd w:id="258"/>
    <w:bookmarkStart w:id="260"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59">
        <w:r>
          <w:rPr>
            <w:rStyle w:val="Hyperlink"/>
          </w:rPr>
          <w:t xml:space="preserve">https://doi.org/10.1007/s00468-018-1767-z</w:t>
        </w:r>
      </w:hyperlink>
    </w:p>
    <w:bookmarkEnd w:id="260"/>
    <w:bookmarkStart w:id="262"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61">
        <w:r>
          <w:rPr>
            <w:rStyle w:val="Hyperlink"/>
          </w:rPr>
          <w:t xml:space="preserve">https://doi.org/10.1016/j.agrformet.2017.07.015</w:t>
        </w:r>
      </w:hyperlink>
    </w:p>
    <w:bookmarkEnd w:id="262"/>
    <w:bookmarkStart w:id="264"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63">
        <w:r>
          <w:rPr>
            <w:rStyle w:val="Hyperlink"/>
          </w:rPr>
          <w:t xml:space="preserve">https://doi.org/10.1111/2041-210X.12590</w:t>
        </w:r>
      </w:hyperlink>
    </w:p>
    <w:bookmarkEnd w:id="264"/>
    <w:bookmarkStart w:id="266"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65">
        <w:r>
          <w:rPr>
            <w:rStyle w:val="Hyperlink"/>
          </w:rPr>
          <w:t xml:space="preserve">https://doi.org/10.1038/ngeo2313</w:t>
        </w:r>
      </w:hyperlink>
    </w:p>
    <w:bookmarkEnd w:id="266"/>
    <w:bookmarkStart w:id="268"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67">
        <w:r>
          <w:rPr>
            <w:rStyle w:val="Hyperlink"/>
          </w:rPr>
          <w:t xml:space="preserve">https://doi.org/10.1007/s00442-013-2846-x</w:t>
        </w:r>
      </w:hyperlink>
    </w:p>
    <w:bookmarkEnd w:id="268"/>
    <w:bookmarkStart w:id="270"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69">
        <w:r>
          <w:rPr>
            <w:rStyle w:val="Hyperlink"/>
          </w:rPr>
          <w:t xml:space="preserve">https://doi.org/10.1890/0012-9615(2006)076[0549:HCGEDW]2.0.CO;2</w:t>
        </w:r>
      </w:hyperlink>
    </w:p>
    <w:bookmarkEnd w:id="270"/>
    <w:bookmarkStart w:id="272"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71">
        <w:r>
          <w:rPr>
            <w:rStyle w:val="Hyperlink"/>
          </w:rPr>
          <w:t xml:space="preserve">https://doi.org/10.1016/j.foreco.2009.03.007</w:t>
        </w:r>
      </w:hyperlink>
    </w:p>
    <w:bookmarkEnd w:id="272"/>
    <w:bookmarkStart w:id="27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73">
        <w:r>
          <w:rPr>
            <w:rStyle w:val="Hyperlink"/>
          </w:rPr>
          <w:t xml:space="preserve">https://doi.org/10.1111/nph.16866</w:t>
        </w:r>
      </w:hyperlink>
    </w:p>
    <w:bookmarkEnd w:id="274"/>
    <w:bookmarkStart w:id="27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75">
        <w:r>
          <w:rPr>
            <w:rStyle w:val="Hyperlink"/>
          </w:rPr>
          <w:t xml:space="preserve">https://doi.org/10.1038/nclimate1693</w:t>
        </w:r>
      </w:hyperlink>
    </w:p>
    <w:bookmarkEnd w:id="276"/>
    <w:bookmarkStart w:id="27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77">
        <w:r>
          <w:rPr>
            <w:rStyle w:val="Hyperlink"/>
          </w:rPr>
          <w:t xml:space="preserve">https://doi.org/10.1111/gcb.15057</w:t>
        </w:r>
      </w:hyperlink>
    </w:p>
    <w:bookmarkEnd w:id="278"/>
    <w:bookmarkStart w:id="280"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79">
        <w:r>
          <w:rPr>
            <w:rStyle w:val="Hyperlink"/>
          </w:rPr>
          <w:t xml:space="preserve">https://doi.org/10.1111/j.1467-9868.2010.00749.x</w:t>
        </w:r>
      </w:hyperlink>
    </w:p>
    <w:bookmarkEnd w:id="280"/>
    <w:bookmarkStart w:id="282"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81">
        <w:r>
          <w:rPr>
            <w:rStyle w:val="Hyperlink"/>
          </w:rPr>
          <w:t xml:space="preserve">https://doi.org/10.1191/095968399667128516</w:t>
        </w:r>
      </w:hyperlink>
    </w:p>
    <w:bookmarkEnd w:id="282"/>
    <w:bookmarkStart w:id="284"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83">
        <w:r>
          <w:rPr>
            <w:rStyle w:val="Hyperlink"/>
          </w:rPr>
          <w:t xml:space="preserve">https://doi.org/10.1016/j.dendro.2012.08.001</w:t>
        </w:r>
      </w:hyperlink>
    </w:p>
    <w:bookmarkEnd w:id="284"/>
    <w:bookmarkStart w:id="286"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85">
        <w:r>
          <w:rPr>
            <w:rStyle w:val="Hyperlink"/>
          </w:rPr>
          <w:t xml:space="preserve">https://doi.org/10.1111/ecog.01335</w:t>
        </w:r>
      </w:hyperlink>
    </w:p>
    <w:bookmarkEnd w:id="286"/>
    <w:bookmarkStart w:id="288"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87">
        <w:r>
          <w:rPr>
            <w:rStyle w:val="Hyperlink"/>
          </w:rPr>
          <w:t xml:space="preserve">https://doi.org/10.1111/gcb.15092</w:t>
        </w:r>
      </w:hyperlink>
    </w:p>
    <w:bookmarkEnd w:id="288"/>
    <w:bookmarkEnd w:id="289"/>
    <w:bookmarkEnd w:id="290"/>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7"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3"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7"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9"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61" Target="https://doi.org/10.1016/j.agrformet.2017.07.015" TargetMode="External" /><Relationship Type="http://schemas.openxmlformats.org/officeDocument/2006/relationships/hyperlink" Id="rId249"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3"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71"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247" Target="https://doi.org/10.1016/j.scitotenv.2020.140288"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5" Target="https://doi.org/10.1038/nclimate1693" TargetMode="External" /><Relationship Type="http://schemas.openxmlformats.org/officeDocument/2006/relationships/hyperlink" Id="rId265"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3"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5"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51"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7" Target="https://doi.org/10.1111/gcb.15057" TargetMode="External" /><Relationship Type="http://schemas.openxmlformats.org/officeDocument/2006/relationships/hyperlink" Id="rId287"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9"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3"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81" Target="https://doi.org/10.1191/095968399667128516" TargetMode="External" /><Relationship Type="http://schemas.openxmlformats.org/officeDocument/2006/relationships/hyperlink" Id="rId269"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5"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7"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3"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7"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9"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61" Target="https://doi.org/10.1016/j.agrformet.2017.07.015" TargetMode="External" /><Relationship Type="http://schemas.openxmlformats.org/officeDocument/2006/relationships/hyperlink" Id="rId249"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3"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71"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247" Target="https://doi.org/10.1016/j.scitotenv.2020.140288"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5" Target="https://doi.org/10.1038/nclimate1693" TargetMode="External" /><Relationship Type="http://schemas.openxmlformats.org/officeDocument/2006/relationships/hyperlink" Id="rId265"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3"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5"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51"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7" Target="https://doi.org/10.1111/gcb.15057" TargetMode="External" /><Relationship Type="http://schemas.openxmlformats.org/officeDocument/2006/relationships/hyperlink" Id="rId287"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9"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3"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81" Target="https://doi.org/10.1191/095968399667128516" TargetMode="External" /><Relationship Type="http://schemas.openxmlformats.org/officeDocument/2006/relationships/hyperlink" Id="rId269"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5"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2021-03-18T14:09:42Z</dcterms:created>
  <dcterms:modified xsi:type="dcterms:W3CDTF">2021-03-18T14:09:42Z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